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44EC6" w14:textId="77777777" w:rsidR="00EA474E" w:rsidRPr="00DF70F3" w:rsidRDefault="00EA474E" w:rsidP="00EA474E">
      <w:pPr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F70F3">
        <w:rPr>
          <w:rFonts w:ascii="Times New Roman" w:hAnsi="Times New Roman" w:cs="Times New Roman"/>
          <w:b/>
          <w:noProof/>
          <w:sz w:val="22"/>
          <w:szCs w:val="22"/>
        </w:rPr>
        <w:drawing>
          <wp:inline distT="0" distB="0" distL="0" distR="0" wp14:anchorId="2C62E613" wp14:editId="692124F1">
            <wp:extent cx="2804160" cy="87630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056" cy="88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EFEAF" w14:textId="3F519281" w:rsidR="00EA474E" w:rsidRPr="00DF70F3" w:rsidRDefault="00991230" w:rsidP="77CE020C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77CE020C">
        <w:rPr>
          <w:rFonts w:ascii="Times New Roman" w:hAnsi="Times New Roman" w:cs="Times New Roman"/>
          <w:b/>
          <w:bCs/>
          <w:sz w:val="22"/>
          <w:szCs w:val="22"/>
        </w:rPr>
        <w:t>THE TENNESSEE ALLIAN</w:t>
      </w:r>
      <w:r w:rsidR="00CB0695" w:rsidRPr="77CE020C">
        <w:rPr>
          <w:rFonts w:ascii="Times New Roman" w:hAnsi="Times New Roman" w:cs="Times New Roman"/>
          <w:b/>
          <w:bCs/>
          <w:sz w:val="22"/>
          <w:szCs w:val="22"/>
        </w:rPr>
        <w:t>C</w:t>
      </w:r>
      <w:r w:rsidRPr="77CE020C">
        <w:rPr>
          <w:rFonts w:ascii="Times New Roman" w:hAnsi="Times New Roman" w:cs="Times New Roman"/>
          <w:b/>
          <w:bCs/>
          <w:sz w:val="22"/>
          <w:szCs w:val="22"/>
        </w:rPr>
        <w:t>E FOR EQUITY IN EDUCATION RELEASES COMPREHENSIVE SCHOOL FUNDING REPORT</w:t>
      </w:r>
    </w:p>
    <w:p w14:paraId="135D6A0D" w14:textId="0AED6D9D" w:rsidR="00EA474E" w:rsidRPr="00DF70F3" w:rsidRDefault="00991230" w:rsidP="00EA474E">
      <w:pPr>
        <w:spacing w:after="240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Report </w:t>
      </w:r>
      <w:r w:rsidR="004D2CE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details disparities in statewide education and </w:t>
      </w:r>
      <w:r w:rsidR="00CD2148">
        <w:rPr>
          <w:rFonts w:ascii="Times New Roman" w:hAnsi="Times New Roman" w:cs="Times New Roman"/>
          <w:bCs/>
          <w:i/>
          <w:iCs/>
          <w:sz w:val="22"/>
          <w:szCs w:val="22"/>
        </w:rPr>
        <w:t>outlines priorities for additional state funding</w:t>
      </w:r>
    </w:p>
    <w:p w14:paraId="0304E072" w14:textId="1DC82150" w:rsidR="00EA474E" w:rsidRDefault="6AB8D590" w:rsidP="0068012E">
      <w:pPr>
        <w:spacing w:after="240"/>
        <w:rPr>
          <w:rFonts w:ascii="Times New Roman" w:hAnsi="Times New Roman" w:cs="Times New Roman"/>
          <w:sz w:val="22"/>
          <w:szCs w:val="22"/>
        </w:rPr>
      </w:pPr>
      <w:r w:rsidRPr="2805543E">
        <w:rPr>
          <w:rFonts w:ascii="Times New Roman" w:hAnsi="Times New Roman" w:cs="Times New Roman"/>
          <w:b/>
          <w:bCs/>
          <w:sz w:val="22"/>
          <w:szCs w:val="22"/>
        </w:rPr>
        <w:t>NASHVILLE, Tenn. (</w:t>
      </w:r>
      <w:r w:rsidR="3AA61C38" w:rsidRPr="2805543E">
        <w:rPr>
          <w:rFonts w:ascii="Times New Roman" w:hAnsi="Times New Roman" w:cs="Times New Roman"/>
          <w:b/>
          <w:bCs/>
          <w:sz w:val="22"/>
          <w:szCs w:val="22"/>
        </w:rPr>
        <w:t>Jan</w:t>
      </w:r>
      <w:r w:rsidRPr="2805543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912803"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Pr="2805543E">
        <w:rPr>
          <w:rFonts w:ascii="Times New Roman" w:hAnsi="Times New Roman" w:cs="Times New Roman"/>
          <w:b/>
          <w:bCs/>
          <w:sz w:val="22"/>
          <w:szCs w:val="22"/>
        </w:rPr>
        <w:t>, 202</w:t>
      </w:r>
      <w:r w:rsidR="4DB5BE16" w:rsidRPr="2805543E"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Pr="2805543E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Pr="2805543E">
        <w:rPr>
          <w:rFonts w:ascii="Times New Roman" w:hAnsi="Times New Roman" w:cs="Times New Roman"/>
          <w:sz w:val="22"/>
          <w:szCs w:val="22"/>
        </w:rPr>
        <w:t xml:space="preserve"> – </w:t>
      </w:r>
      <w:hyperlink r:id="rId9">
        <w:r w:rsidRPr="2805543E">
          <w:rPr>
            <w:rStyle w:val="Hyperlink"/>
            <w:rFonts w:ascii="Times New Roman" w:hAnsi="Times New Roman" w:cs="Times New Roman"/>
            <w:sz w:val="22"/>
            <w:szCs w:val="22"/>
          </w:rPr>
          <w:t>The Tennessee Alliance for Equity in Education</w:t>
        </w:r>
      </w:hyperlink>
      <w:r w:rsidR="61480062" w:rsidRPr="2805543E">
        <w:rPr>
          <w:rFonts w:ascii="Times New Roman" w:hAnsi="Times New Roman" w:cs="Times New Roman"/>
          <w:sz w:val="22"/>
          <w:szCs w:val="22"/>
        </w:rPr>
        <w:t xml:space="preserve">, </w:t>
      </w:r>
      <w:r w:rsidRPr="2805543E">
        <w:rPr>
          <w:rFonts w:ascii="Times New Roman" w:hAnsi="Times New Roman" w:cs="Times New Roman"/>
          <w:sz w:val="22"/>
          <w:szCs w:val="22"/>
        </w:rPr>
        <w:t xml:space="preserve">launched by </w:t>
      </w:r>
      <w:hyperlink r:id="rId10">
        <w:r w:rsidRPr="2805543E">
          <w:rPr>
            <w:rStyle w:val="Hyperlink"/>
            <w:rFonts w:ascii="Times New Roman" w:hAnsi="Times New Roman" w:cs="Times New Roman"/>
            <w:sz w:val="22"/>
            <w:szCs w:val="22"/>
          </w:rPr>
          <w:t>The Education Trust in Tennessee</w:t>
        </w:r>
      </w:hyperlink>
      <w:r w:rsidRPr="2805543E">
        <w:rPr>
          <w:rFonts w:ascii="Times New Roman" w:hAnsi="Times New Roman" w:cs="Times New Roman"/>
          <w:sz w:val="22"/>
          <w:szCs w:val="22"/>
        </w:rPr>
        <w:t xml:space="preserve">, </w:t>
      </w:r>
      <w:r w:rsidR="3AA61C38" w:rsidRPr="2805543E">
        <w:rPr>
          <w:rFonts w:ascii="Times New Roman" w:hAnsi="Times New Roman" w:cs="Times New Roman"/>
          <w:sz w:val="22"/>
          <w:szCs w:val="22"/>
        </w:rPr>
        <w:t xml:space="preserve">has </w:t>
      </w:r>
      <w:r w:rsidR="78BDBC3A" w:rsidRPr="2805543E">
        <w:rPr>
          <w:rFonts w:ascii="Times New Roman" w:hAnsi="Times New Roman" w:cs="Times New Roman"/>
          <w:sz w:val="22"/>
          <w:szCs w:val="22"/>
        </w:rPr>
        <w:t xml:space="preserve">released their new comprehensive report TN25: Mapping our Future Together. The report, the product of months of focus groups and research, </w:t>
      </w:r>
      <w:r w:rsidR="39A0E6CA" w:rsidRPr="2805543E">
        <w:rPr>
          <w:rFonts w:ascii="Times New Roman" w:hAnsi="Times New Roman" w:cs="Times New Roman"/>
          <w:sz w:val="22"/>
          <w:szCs w:val="22"/>
        </w:rPr>
        <w:t xml:space="preserve">both </w:t>
      </w:r>
      <w:r w:rsidR="78BDBC3A" w:rsidRPr="2805543E">
        <w:rPr>
          <w:rFonts w:ascii="Times New Roman" w:hAnsi="Times New Roman" w:cs="Times New Roman"/>
          <w:sz w:val="22"/>
          <w:szCs w:val="22"/>
        </w:rPr>
        <w:t>charts Tennessee’s history with education funding and disparities that constantly arise</w:t>
      </w:r>
      <w:r w:rsidR="2D4B7B9F" w:rsidRPr="2805543E">
        <w:rPr>
          <w:rFonts w:ascii="Times New Roman" w:hAnsi="Times New Roman" w:cs="Times New Roman"/>
          <w:sz w:val="22"/>
          <w:szCs w:val="22"/>
        </w:rPr>
        <w:t xml:space="preserve"> and recommends major policy initiatives for the state to pursue. </w:t>
      </w:r>
    </w:p>
    <w:p w14:paraId="046329C9" w14:textId="45234B8C" w:rsidR="005B77A4" w:rsidRDefault="00C94B38" w:rsidP="0068012E">
      <w:p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“Our state is at a momentous crossroads in terms of the future of education,” </w:t>
      </w:r>
      <w:r w:rsidRPr="000A7938">
        <w:rPr>
          <w:rFonts w:ascii="Times New Roman" w:hAnsi="Times New Roman" w:cs="Times New Roman"/>
          <w:sz w:val="22"/>
          <w:szCs w:val="22"/>
        </w:rPr>
        <w:t>said Gini Pupo-Walker, state director for The Education Trust in Tennessee.</w:t>
      </w:r>
      <w:r>
        <w:rPr>
          <w:rFonts w:ascii="Times New Roman" w:hAnsi="Times New Roman" w:cs="Times New Roman"/>
          <w:sz w:val="22"/>
          <w:szCs w:val="22"/>
        </w:rPr>
        <w:t xml:space="preserve"> “The mission of the TN25 report is to not only look back at the modern history of education in the state, but to also chart a course for a more equitable </w:t>
      </w:r>
      <w:r w:rsidR="000111C8">
        <w:rPr>
          <w:rFonts w:ascii="Times New Roman" w:hAnsi="Times New Roman" w:cs="Times New Roman"/>
          <w:sz w:val="22"/>
          <w:szCs w:val="22"/>
        </w:rPr>
        <w:t>system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111C8">
        <w:rPr>
          <w:rFonts w:ascii="Times New Roman" w:hAnsi="Times New Roman" w:cs="Times New Roman"/>
          <w:sz w:val="22"/>
          <w:szCs w:val="22"/>
        </w:rPr>
        <w:t>and provide tangible proposals to create a new future for Tennessee’s students.”</w:t>
      </w:r>
    </w:p>
    <w:p w14:paraId="761617D1" w14:textId="616BBB0D" w:rsidR="00204D96" w:rsidRDefault="797BA88C" w:rsidP="0068012E">
      <w:pPr>
        <w:spacing w:after="240"/>
        <w:rPr>
          <w:rFonts w:ascii="Times New Roman" w:hAnsi="Times New Roman" w:cs="Times New Roman"/>
          <w:sz w:val="22"/>
          <w:szCs w:val="22"/>
        </w:rPr>
      </w:pPr>
      <w:r w:rsidRPr="2805543E">
        <w:rPr>
          <w:rFonts w:ascii="Times New Roman" w:hAnsi="Times New Roman" w:cs="Times New Roman"/>
          <w:sz w:val="22"/>
          <w:szCs w:val="22"/>
        </w:rPr>
        <w:t xml:space="preserve">As part of the March 2020 Coronavirus Aid Relief and Economic Security (CARES) Act, the United States Congress allocated over $4.5 billion in federal and state aid to be spent </w:t>
      </w:r>
      <w:r w:rsidR="5D5801F6" w:rsidRPr="2805543E">
        <w:rPr>
          <w:rFonts w:ascii="Times New Roman" w:hAnsi="Times New Roman" w:cs="Times New Roman"/>
          <w:sz w:val="22"/>
          <w:szCs w:val="22"/>
        </w:rPr>
        <w:t xml:space="preserve">in full </w:t>
      </w:r>
      <w:r w:rsidRPr="2805543E">
        <w:rPr>
          <w:rFonts w:ascii="Times New Roman" w:hAnsi="Times New Roman" w:cs="Times New Roman"/>
          <w:sz w:val="22"/>
          <w:szCs w:val="22"/>
        </w:rPr>
        <w:t xml:space="preserve">by the fall of 2024. </w:t>
      </w:r>
      <w:r w:rsidR="51A1D17E" w:rsidRPr="2805543E">
        <w:rPr>
          <w:rFonts w:ascii="Times New Roman" w:hAnsi="Times New Roman" w:cs="Times New Roman"/>
          <w:sz w:val="22"/>
          <w:szCs w:val="22"/>
        </w:rPr>
        <w:t>This funding has the potential to</w:t>
      </w:r>
      <w:r w:rsidR="5B8A76D2" w:rsidRPr="2805543E">
        <w:rPr>
          <w:rFonts w:ascii="Times New Roman" w:hAnsi="Times New Roman" w:cs="Times New Roman"/>
          <w:sz w:val="22"/>
          <w:szCs w:val="22"/>
        </w:rPr>
        <w:t xml:space="preserve"> address and begin to remedy the disparities made worse by COVID-19, </w:t>
      </w:r>
      <w:r w:rsidR="293815F6" w:rsidRPr="2805543E">
        <w:rPr>
          <w:rFonts w:ascii="Times New Roman" w:hAnsi="Times New Roman" w:cs="Times New Roman"/>
          <w:sz w:val="22"/>
          <w:szCs w:val="22"/>
        </w:rPr>
        <w:t>and</w:t>
      </w:r>
      <w:r w:rsidR="5B8A76D2" w:rsidRPr="2805543E">
        <w:rPr>
          <w:rFonts w:ascii="Times New Roman" w:hAnsi="Times New Roman" w:cs="Times New Roman"/>
          <w:sz w:val="22"/>
          <w:szCs w:val="22"/>
        </w:rPr>
        <w:t xml:space="preserve"> can also be truly transformational for underserved communities across the state.  </w:t>
      </w:r>
    </w:p>
    <w:p w14:paraId="2496DE7E" w14:textId="7BE74005" w:rsidR="00A52C12" w:rsidRDefault="2DD1CC3A" w:rsidP="00A52C12">
      <w:pPr>
        <w:spacing w:after="240"/>
        <w:rPr>
          <w:rFonts w:ascii="Times New Roman" w:hAnsi="Times New Roman" w:cs="Times New Roman"/>
          <w:sz w:val="22"/>
          <w:szCs w:val="22"/>
        </w:rPr>
      </w:pPr>
      <w:r w:rsidRPr="2805543E">
        <w:rPr>
          <w:rFonts w:ascii="Times New Roman" w:hAnsi="Times New Roman" w:cs="Times New Roman"/>
          <w:sz w:val="22"/>
          <w:szCs w:val="22"/>
        </w:rPr>
        <w:t xml:space="preserve">The </w:t>
      </w:r>
      <w:bookmarkStart w:id="0" w:name="_GoBack"/>
      <w:bookmarkEnd w:id="0"/>
      <w:r w:rsidRPr="2805543E">
        <w:rPr>
          <w:rFonts w:ascii="Times New Roman" w:hAnsi="Times New Roman" w:cs="Times New Roman"/>
          <w:sz w:val="22"/>
          <w:szCs w:val="22"/>
        </w:rPr>
        <w:t xml:space="preserve">report </w:t>
      </w:r>
      <w:r w:rsidR="1769FFCA" w:rsidRPr="2805543E">
        <w:rPr>
          <w:rFonts w:ascii="Times New Roman" w:hAnsi="Times New Roman" w:cs="Times New Roman"/>
          <w:sz w:val="22"/>
          <w:szCs w:val="22"/>
        </w:rPr>
        <w:t xml:space="preserve">takes feedback from students, families, educators, advocacy groups, and other </w:t>
      </w:r>
      <w:r w:rsidR="7DD01C7E" w:rsidRPr="2805543E">
        <w:rPr>
          <w:rFonts w:ascii="Times New Roman" w:hAnsi="Times New Roman" w:cs="Times New Roman"/>
          <w:sz w:val="22"/>
          <w:szCs w:val="22"/>
        </w:rPr>
        <w:t>regional and statewide</w:t>
      </w:r>
      <w:r w:rsidR="1769FFCA" w:rsidRPr="2805543E">
        <w:rPr>
          <w:rFonts w:ascii="Times New Roman" w:hAnsi="Times New Roman" w:cs="Times New Roman"/>
          <w:sz w:val="22"/>
          <w:szCs w:val="22"/>
        </w:rPr>
        <w:t xml:space="preserve"> stakeholders to address some of Tennessee’s most pressing education policy issues that were laid bare during COVID</w:t>
      </w:r>
      <w:r w:rsidR="7A5582DB" w:rsidRPr="2805543E">
        <w:rPr>
          <w:rFonts w:ascii="Times New Roman" w:hAnsi="Times New Roman" w:cs="Times New Roman"/>
          <w:sz w:val="22"/>
          <w:szCs w:val="22"/>
        </w:rPr>
        <w:t>-19</w:t>
      </w:r>
      <w:r w:rsidR="7DD01C7E" w:rsidRPr="2805543E">
        <w:rPr>
          <w:rFonts w:ascii="Times New Roman" w:hAnsi="Times New Roman" w:cs="Times New Roman"/>
          <w:sz w:val="22"/>
          <w:szCs w:val="22"/>
        </w:rPr>
        <w:t>. It</w:t>
      </w:r>
      <w:r w:rsidR="1769FFCA" w:rsidRPr="2805543E">
        <w:rPr>
          <w:rFonts w:ascii="Times New Roman" w:hAnsi="Times New Roman" w:cs="Times New Roman"/>
          <w:sz w:val="22"/>
          <w:szCs w:val="22"/>
        </w:rPr>
        <w:t xml:space="preserve"> </w:t>
      </w:r>
      <w:r w:rsidRPr="2805543E">
        <w:rPr>
          <w:rFonts w:ascii="Times New Roman" w:hAnsi="Times New Roman" w:cs="Times New Roman"/>
          <w:sz w:val="22"/>
          <w:szCs w:val="22"/>
        </w:rPr>
        <w:t xml:space="preserve">charts Tennessee’s history of public education from 1901 to </w:t>
      </w:r>
      <w:r w:rsidR="00100D39">
        <w:rPr>
          <w:rFonts w:ascii="Times New Roman" w:hAnsi="Times New Roman" w:cs="Times New Roman"/>
          <w:sz w:val="22"/>
          <w:szCs w:val="22"/>
        </w:rPr>
        <w:t xml:space="preserve">the </w:t>
      </w:r>
      <w:r w:rsidRPr="2805543E">
        <w:rPr>
          <w:rFonts w:ascii="Times New Roman" w:hAnsi="Times New Roman" w:cs="Times New Roman"/>
          <w:sz w:val="22"/>
          <w:szCs w:val="22"/>
        </w:rPr>
        <w:t xml:space="preserve">current day, compares the state’s education landscape pre- and </w:t>
      </w:r>
      <w:r w:rsidR="21F050AB" w:rsidRPr="2805543E">
        <w:rPr>
          <w:rFonts w:ascii="Times New Roman" w:hAnsi="Times New Roman" w:cs="Times New Roman"/>
          <w:sz w:val="22"/>
          <w:szCs w:val="22"/>
        </w:rPr>
        <w:t>“</w:t>
      </w:r>
      <w:r w:rsidRPr="2805543E">
        <w:rPr>
          <w:rFonts w:ascii="Times New Roman" w:hAnsi="Times New Roman" w:cs="Times New Roman"/>
          <w:sz w:val="22"/>
          <w:szCs w:val="22"/>
        </w:rPr>
        <w:t>post</w:t>
      </w:r>
      <w:r w:rsidR="21F050AB" w:rsidRPr="2805543E">
        <w:rPr>
          <w:rFonts w:ascii="Times New Roman" w:hAnsi="Times New Roman" w:cs="Times New Roman"/>
          <w:sz w:val="22"/>
          <w:szCs w:val="22"/>
        </w:rPr>
        <w:t>”</w:t>
      </w:r>
      <w:r w:rsidR="500239EB" w:rsidRPr="2805543E">
        <w:rPr>
          <w:rFonts w:ascii="Times New Roman" w:hAnsi="Times New Roman" w:cs="Times New Roman"/>
          <w:sz w:val="22"/>
          <w:szCs w:val="22"/>
        </w:rPr>
        <w:t>-</w:t>
      </w:r>
      <w:r w:rsidRPr="2805543E">
        <w:rPr>
          <w:rFonts w:ascii="Times New Roman" w:hAnsi="Times New Roman" w:cs="Times New Roman"/>
          <w:sz w:val="22"/>
          <w:szCs w:val="22"/>
        </w:rPr>
        <w:t xml:space="preserve">COVID-19, </w:t>
      </w:r>
      <w:r w:rsidR="21F050AB" w:rsidRPr="2805543E">
        <w:rPr>
          <w:rFonts w:ascii="Times New Roman" w:hAnsi="Times New Roman" w:cs="Times New Roman"/>
          <w:sz w:val="22"/>
          <w:szCs w:val="22"/>
        </w:rPr>
        <w:t xml:space="preserve">and outlines five common-sense policy proposals </w:t>
      </w:r>
      <w:r w:rsidR="1769FFCA" w:rsidRPr="2805543E">
        <w:rPr>
          <w:rFonts w:ascii="Times New Roman" w:hAnsi="Times New Roman" w:cs="Times New Roman"/>
          <w:sz w:val="22"/>
          <w:szCs w:val="22"/>
        </w:rPr>
        <w:t xml:space="preserve">that </w:t>
      </w:r>
      <w:r w:rsidR="6571954C" w:rsidRPr="2805543E">
        <w:rPr>
          <w:rFonts w:ascii="Times New Roman" w:hAnsi="Times New Roman" w:cs="Times New Roman"/>
          <w:sz w:val="22"/>
          <w:szCs w:val="22"/>
        </w:rPr>
        <w:t>have the potential to reshape education in the state</w:t>
      </w:r>
      <w:r w:rsidR="1AFD28A5" w:rsidRPr="2805543E">
        <w:rPr>
          <w:rFonts w:ascii="Times New Roman" w:hAnsi="Times New Roman" w:cs="Times New Roman"/>
          <w:sz w:val="22"/>
          <w:szCs w:val="22"/>
        </w:rPr>
        <w:t>.</w:t>
      </w:r>
    </w:p>
    <w:p w14:paraId="5E80C918" w14:textId="696B2668" w:rsidR="002B4B37" w:rsidRDefault="002B4B37" w:rsidP="00A52C12">
      <w:p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While the entire report goes int</w:t>
      </w:r>
      <w:r w:rsidR="00535310">
        <w:rPr>
          <w:rFonts w:ascii="Times New Roman" w:hAnsi="Times New Roman" w:cs="Times New Roman"/>
          <w:sz w:val="22"/>
          <w:szCs w:val="22"/>
        </w:rPr>
        <w:t xml:space="preserve">o considerable detail regarding the </w:t>
      </w:r>
      <w:r w:rsidR="00504639">
        <w:rPr>
          <w:rFonts w:ascii="Times New Roman" w:hAnsi="Times New Roman" w:cs="Times New Roman"/>
          <w:sz w:val="22"/>
          <w:szCs w:val="22"/>
        </w:rPr>
        <w:t xml:space="preserve">five </w:t>
      </w:r>
      <w:r w:rsidR="002C4D1E">
        <w:rPr>
          <w:rFonts w:ascii="Times New Roman" w:hAnsi="Times New Roman" w:cs="Times New Roman"/>
          <w:sz w:val="22"/>
          <w:szCs w:val="22"/>
        </w:rPr>
        <w:t>proposals, some of the major suggestions include:</w:t>
      </w:r>
    </w:p>
    <w:p w14:paraId="4EAD5273" w14:textId="48EDFAA0" w:rsidR="002C4D1E" w:rsidRDefault="52F43644" w:rsidP="002C4D1E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2805543E">
        <w:rPr>
          <w:rFonts w:ascii="Times New Roman" w:hAnsi="Times New Roman" w:cs="Times New Roman"/>
          <w:sz w:val="22"/>
          <w:szCs w:val="22"/>
        </w:rPr>
        <w:t>Ensuring fairness in education by providing funding to districts with low property wealth to make up the difference between what the district needs and can contribute based on fiscal capacity</w:t>
      </w:r>
      <w:r w:rsidR="24CCFB2A" w:rsidRPr="2805543E">
        <w:rPr>
          <w:rFonts w:ascii="Times New Roman" w:hAnsi="Times New Roman" w:cs="Times New Roman"/>
          <w:sz w:val="22"/>
          <w:szCs w:val="22"/>
        </w:rPr>
        <w:t>;</w:t>
      </w:r>
    </w:p>
    <w:p w14:paraId="17E11B90" w14:textId="17A3F49F" w:rsidR="00A32DA5" w:rsidRDefault="300D7504" w:rsidP="002C4D1E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2805543E">
        <w:rPr>
          <w:rFonts w:ascii="Times New Roman" w:hAnsi="Times New Roman" w:cs="Times New Roman"/>
          <w:sz w:val="22"/>
          <w:szCs w:val="22"/>
        </w:rPr>
        <w:t>Support</w:t>
      </w:r>
      <w:r w:rsidR="00100D39">
        <w:rPr>
          <w:rFonts w:ascii="Times New Roman" w:hAnsi="Times New Roman" w:cs="Times New Roman"/>
          <w:sz w:val="22"/>
          <w:szCs w:val="22"/>
        </w:rPr>
        <w:t>ing</w:t>
      </w:r>
      <w:r w:rsidRPr="2805543E">
        <w:rPr>
          <w:rFonts w:ascii="Times New Roman" w:hAnsi="Times New Roman" w:cs="Times New Roman"/>
          <w:sz w:val="22"/>
          <w:szCs w:val="22"/>
        </w:rPr>
        <w:t xml:space="preserve"> and incentiviz</w:t>
      </w:r>
      <w:r w:rsidR="00100D39">
        <w:rPr>
          <w:rFonts w:ascii="Times New Roman" w:hAnsi="Times New Roman" w:cs="Times New Roman"/>
          <w:sz w:val="22"/>
          <w:szCs w:val="22"/>
        </w:rPr>
        <w:t>ing</w:t>
      </w:r>
      <w:r w:rsidRPr="2805543E">
        <w:rPr>
          <w:rFonts w:ascii="Times New Roman" w:hAnsi="Times New Roman" w:cs="Times New Roman"/>
          <w:sz w:val="22"/>
          <w:szCs w:val="22"/>
        </w:rPr>
        <w:t xml:space="preserve"> educator preparation programs to recruit and prepare teachers of color, as well as</w:t>
      </w:r>
      <w:r w:rsidR="7F97A746" w:rsidRPr="2805543E">
        <w:rPr>
          <w:rFonts w:ascii="Times New Roman" w:hAnsi="Times New Roman" w:cs="Times New Roman"/>
          <w:sz w:val="22"/>
          <w:szCs w:val="22"/>
        </w:rPr>
        <w:t xml:space="preserve"> target</w:t>
      </w:r>
      <w:r w:rsidR="00100D39">
        <w:rPr>
          <w:rFonts w:ascii="Times New Roman" w:hAnsi="Times New Roman" w:cs="Times New Roman"/>
          <w:sz w:val="22"/>
          <w:szCs w:val="22"/>
        </w:rPr>
        <w:t>ing</w:t>
      </w:r>
      <w:r w:rsidR="7F97A746" w:rsidRPr="2805543E">
        <w:rPr>
          <w:rFonts w:ascii="Times New Roman" w:hAnsi="Times New Roman" w:cs="Times New Roman"/>
          <w:sz w:val="22"/>
          <w:szCs w:val="22"/>
        </w:rPr>
        <w:t xml:space="preserve"> resources to intentionally recruit, hire, and retain a diverse educator workforce</w:t>
      </w:r>
      <w:r w:rsidR="32B6C132" w:rsidRPr="2805543E">
        <w:rPr>
          <w:rFonts w:ascii="Times New Roman" w:hAnsi="Times New Roman" w:cs="Times New Roman"/>
          <w:sz w:val="22"/>
          <w:szCs w:val="22"/>
        </w:rPr>
        <w:t>;</w:t>
      </w:r>
      <w:r w:rsidR="66B83F6F" w:rsidRPr="2805543E">
        <w:rPr>
          <w:rFonts w:ascii="Times New Roman" w:hAnsi="Times New Roman" w:cs="Times New Roman"/>
          <w:sz w:val="22"/>
          <w:szCs w:val="22"/>
        </w:rPr>
        <w:t xml:space="preserve"> and</w:t>
      </w:r>
    </w:p>
    <w:p w14:paraId="7A7B2ECF" w14:textId="07EC380E" w:rsidR="00503E46" w:rsidRPr="002C4D1E" w:rsidRDefault="009B25AA" w:rsidP="002C4D1E">
      <w:pPr>
        <w:pStyle w:val="ListParagraph"/>
        <w:numPr>
          <w:ilvl w:val="0"/>
          <w:numId w:val="5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9B25AA">
        <w:rPr>
          <w:rFonts w:ascii="Times New Roman" w:hAnsi="Times New Roman" w:cs="Times New Roman"/>
          <w:sz w:val="22"/>
          <w:szCs w:val="22"/>
        </w:rPr>
        <w:t>Evaluat</w:t>
      </w:r>
      <w:r w:rsidR="00100D39">
        <w:rPr>
          <w:rFonts w:ascii="Times New Roman" w:hAnsi="Times New Roman" w:cs="Times New Roman"/>
          <w:sz w:val="22"/>
          <w:szCs w:val="22"/>
        </w:rPr>
        <w:t>ing</w:t>
      </w:r>
      <w:r w:rsidRPr="009B25AA">
        <w:rPr>
          <w:rFonts w:ascii="Times New Roman" w:hAnsi="Times New Roman" w:cs="Times New Roman"/>
          <w:sz w:val="22"/>
          <w:szCs w:val="22"/>
        </w:rPr>
        <w:t xml:space="preserve"> ESSER Plans to ensure that districts use evidence-based practices, allocate resources based on student need, and have a clear monitoring plan to ensure that dollars are well spent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9247D26" w14:textId="06BA4413" w:rsidR="00C0521B" w:rsidRPr="002C4D1E" w:rsidRDefault="505D50B9" w:rsidP="002C4D1E">
      <w:pPr>
        <w:spacing w:after="240"/>
        <w:rPr>
          <w:rFonts w:ascii="Times New Roman" w:hAnsi="Times New Roman" w:cs="Times New Roman"/>
          <w:sz w:val="22"/>
          <w:szCs w:val="22"/>
        </w:rPr>
      </w:pPr>
      <w:r w:rsidRPr="2805543E">
        <w:rPr>
          <w:rFonts w:ascii="Times New Roman" w:hAnsi="Times New Roman" w:cs="Times New Roman"/>
          <w:sz w:val="22"/>
          <w:szCs w:val="22"/>
        </w:rPr>
        <w:t>“</w:t>
      </w:r>
      <w:r w:rsidR="5D5801F6" w:rsidRPr="2805543E">
        <w:rPr>
          <w:rFonts w:ascii="Times New Roman" w:hAnsi="Times New Roman" w:cs="Times New Roman"/>
          <w:sz w:val="22"/>
          <w:szCs w:val="22"/>
        </w:rPr>
        <w:t>TN25 is the first flag in the ground for the TAEE</w:t>
      </w:r>
      <w:r w:rsidR="3048320E" w:rsidRPr="2805543E">
        <w:rPr>
          <w:rFonts w:ascii="Times New Roman" w:hAnsi="Times New Roman" w:cs="Times New Roman"/>
          <w:sz w:val="22"/>
          <w:szCs w:val="22"/>
        </w:rPr>
        <w:t xml:space="preserve"> and</w:t>
      </w:r>
      <w:r w:rsidR="5D5801F6" w:rsidRPr="2805543E">
        <w:rPr>
          <w:rFonts w:ascii="Times New Roman" w:hAnsi="Times New Roman" w:cs="Times New Roman"/>
          <w:sz w:val="22"/>
          <w:szCs w:val="22"/>
        </w:rPr>
        <w:t xml:space="preserve"> our 70 </w:t>
      </w:r>
      <w:r w:rsidR="77B6B0AF" w:rsidRPr="2805543E">
        <w:rPr>
          <w:rFonts w:ascii="Times New Roman" w:hAnsi="Times New Roman" w:cs="Times New Roman"/>
          <w:sz w:val="22"/>
          <w:szCs w:val="22"/>
        </w:rPr>
        <w:t>partners</w:t>
      </w:r>
      <w:r w:rsidR="75E86659" w:rsidRPr="2805543E">
        <w:rPr>
          <w:rFonts w:ascii="Times New Roman" w:hAnsi="Times New Roman" w:cs="Times New Roman"/>
          <w:sz w:val="22"/>
          <w:szCs w:val="22"/>
        </w:rPr>
        <w:t>.</w:t>
      </w:r>
      <w:r w:rsidR="77B6B0AF" w:rsidRPr="2805543E">
        <w:rPr>
          <w:rFonts w:ascii="Times New Roman" w:hAnsi="Times New Roman" w:cs="Times New Roman"/>
          <w:sz w:val="22"/>
          <w:szCs w:val="22"/>
        </w:rPr>
        <w:t xml:space="preserve"> </w:t>
      </w:r>
      <w:r w:rsidR="27399026" w:rsidRPr="2805543E">
        <w:rPr>
          <w:rFonts w:ascii="Times New Roman" w:hAnsi="Times New Roman" w:cs="Times New Roman"/>
          <w:sz w:val="22"/>
          <w:szCs w:val="22"/>
        </w:rPr>
        <w:t>We all believe Tennessee can be a national leader in education, but only if we take advantage of this unprecedented opportunity</w:t>
      </w:r>
      <w:r w:rsidR="00100D39">
        <w:rPr>
          <w:rFonts w:ascii="Times New Roman" w:hAnsi="Times New Roman" w:cs="Times New Roman"/>
          <w:sz w:val="22"/>
          <w:szCs w:val="22"/>
        </w:rPr>
        <w:t>,</w:t>
      </w:r>
      <w:r w:rsidR="61D8F18B" w:rsidRPr="2805543E">
        <w:rPr>
          <w:rFonts w:ascii="Times New Roman" w:hAnsi="Times New Roman" w:cs="Times New Roman"/>
          <w:sz w:val="22"/>
          <w:szCs w:val="22"/>
        </w:rPr>
        <w:t xml:space="preserve">” </w:t>
      </w:r>
      <w:r w:rsidR="00100D39">
        <w:rPr>
          <w:rFonts w:ascii="Times New Roman" w:hAnsi="Times New Roman" w:cs="Times New Roman"/>
          <w:sz w:val="22"/>
          <w:szCs w:val="22"/>
        </w:rPr>
        <w:t>s</w:t>
      </w:r>
      <w:r w:rsidR="61D8F18B" w:rsidRPr="2805543E">
        <w:rPr>
          <w:rFonts w:ascii="Times New Roman" w:hAnsi="Times New Roman" w:cs="Times New Roman"/>
          <w:sz w:val="22"/>
          <w:szCs w:val="22"/>
        </w:rPr>
        <w:t>aid</w:t>
      </w:r>
      <w:r w:rsidR="00912803">
        <w:rPr>
          <w:rFonts w:ascii="Times New Roman" w:hAnsi="Times New Roman" w:cs="Times New Roman"/>
          <w:sz w:val="22"/>
          <w:szCs w:val="22"/>
        </w:rPr>
        <w:t xml:space="preserve"> Candy Johnson, president and CEO of the Urban League of Greater Chattanooga</w:t>
      </w:r>
      <w:r w:rsidR="261C26AB" w:rsidRPr="2805543E">
        <w:rPr>
          <w:rFonts w:ascii="Times New Roman" w:hAnsi="Times New Roman" w:cs="Times New Roman"/>
          <w:sz w:val="22"/>
          <w:szCs w:val="22"/>
        </w:rPr>
        <w:t>. “This report is an important step in equipping education advocated from around the state with the facts, figures</w:t>
      </w:r>
      <w:r w:rsidR="3410FC58" w:rsidRPr="2805543E">
        <w:rPr>
          <w:rFonts w:ascii="Times New Roman" w:hAnsi="Times New Roman" w:cs="Times New Roman"/>
          <w:sz w:val="22"/>
          <w:szCs w:val="22"/>
        </w:rPr>
        <w:t>,</w:t>
      </w:r>
      <w:r w:rsidR="261C26AB" w:rsidRPr="2805543E">
        <w:rPr>
          <w:rFonts w:ascii="Times New Roman" w:hAnsi="Times New Roman" w:cs="Times New Roman"/>
          <w:sz w:val="22"/>
          <w:szCs w:val="22"/>
        </w:rPr>
        <w:t xml:space="preserve"> and policies to begin to make lasting change for generations to come.”</w:t>
      </w:r>
    </w:p>
    <w:p w14:paraId="4DB91CDD" w14:textId="2FB94DBA" w:rsidR="00717326" w:rsidRDefault="64AC38B7" w:rsidP="00EA474E">
      <w:pPr>
        <w:spacing w:after="240"/>
        <w:rPr>
          <w:rFonts w:ascii="Times New Roman" w:hAnsi="Times New Roman" w:cs="Times New Roman"/>
          <w:sz w:val="22"/>
          <w:szCs w:val="22"/>
        </w:rPr>
      </w:pPr>
      <w:r w:rsidRPr="2805543E">
        <w:rPr>
          <w:rFonts w:ascii="Times New Roman" w:hAnsi="Times New Roman" w:cs="Times New Roman"/>
          <w:sz w:val="22"/>
          <w:szCs w:val="22"/>
        </w:rPr>
        <w:t xml:space="preserve">Due to the urgent nature of the </w:t>
      </w:r>
      <w:r w:rsidR="095B53FD" w:rsidRPr="2805543E">
        <w:rPr>
          <w:rFonts w:ascii="Times New Roman" w:hAnsi="Times New Roman" w:cs="Times New Roman"/>
          <w:sz w:val="22"/>
          <w:szCs w:val="22"/>
        </w:rPr>
        <w:t>CARES Act</w:t>
      </w:r>
      <w:r w:rsidRPr="2805543E">
        <w:rPr>
          <w:rFonts w:ascii="Times New Roman" w:hAnsi="Times New Roman" w:cs="Times New Roman"/>
          <w:sz w:val="22"/>
          <w:szCs w:val="22"/>
        </w:rPr>
        <w:t xml:space="preserve">, where </w:t>
      </w:r>
      <w:r w:rsidR="1BF35477" w:rsidRPr="2805543E">
        <w:rPr>
          <w:rFonts w:ascii="Times New Roman" w:hAnsi="Times New Roman" w:cs="Times New Roman"/>
          <w:sz w:val="22"/>
          <w:szCs w:val="22"/>
        </w:rPr>
        <w:t>the entirety of</w:t>
      </w:r>
      <w:r w:rsidRPr="2805543E">
        <w:rPr>
          <w:rFonts w:ascii="Times New Roman" w:hAnsi="Times New Roman" w:cs="Times New Roman"/>
          <w:sz w:val="22"/>
          <w:szCs w:val="22"/>
        </w:rPr>
        <w:t xml:space="preserve"> the $4.5 billion must be spent by </w:t>
      </w:r>
      <w:r w:rsidR="7AA96477" w:rsidRPr="2805543E">
        <w:rPr>
          <w:rFonts w:ascii="Times New Roman" w:hAnsi="Times New Roman" w:cs="Times New Roman"/>
          <w:sz w:val="22"/>
          <w:szCs w:val="22"/>
        </w:rPr>
        <w:t>the fall of 2024</w:t>
      </w:r>
      <w:r w:rsidRPr="2805543E">
        <w:rPr>
          <w:rFonts w:ascii="Times New Roman" w:hAnsi="Times New Roman" w:cs="Times New Roman"/>
          <w:sz w:val="22"/>
          <w:szCs w:val="22"/>
        </w:rPr>
        <w:t xml:space="preserve">, </w:t>
      </w:r>
      <w:r w:rsidR="3799CA02" w:rsidRPr="2805543E">
        <w:rPr>
          <w:rFonts w:ascii="Times New Roman" w:hAnsi="Times New Roman" w:cs="Times New Roman"/>
          <w:sz w:val="22"/>
          <w:szCs w:val="22"/>
        </w:rPr>
        <w:t>T</w:t>
      </w:r>
      <w:r w:rsidR="61480062" w:rsidRPr="2805543E">
        <w:rPr>
          <w:rFonts w:ascii="Times New Roman" w:hAnsi="Times New Roman" w:cs="Times New Roman"/>
          <w:sz w:val="22"/>
          <w:szCs w:val="22"/>
        </w:rPr>
        <w:t>he Alliance</w:t>
      </w:r>
      <w:r w:rsidR="3799CA02" w:rsidRPr="2805543E">
        <w:rPr>
          <w:rFonts w:ascii="Times New Roman" w:hAnsi="Times New Roman" w:cs="Times New Roman"/>
          <w:sz w:val="22"/>
          <w:szCs w:val="22"/>
        </w:rPr>
        <w:t xml:space="preserve"> is committing to </w:t>
      </w:r>
      <w:r w:rsidR="7197664A" w:rsidRPr="2805543E">
        <w:rPr>
          <w:rFonts w:ascii="Times New Roman" w:hAnsi="Times New Roman" w:cs="Times New Roman"/>
          <w:sz w:val="22"/>
          <w:szCs w:val="22"/>
        </w:rPr>
        <w:t xml:space="preserve">an annual publication of the TN25 report to ensure </w:t>
      </w:r>
      <w:r w:rsidR="289554B3" w:rsidRPr="2805543E">
        <w:rPr>
          <w:rFonts w:ascii="Times New Roman" w:hAnsi="Times New Roman" w:cs="Times New Roman"/>
          <w:sz w:val="22"/>
          <w:szCs w:val="22"/>
        </w:rPr>
        <w:t xml:space="preserve">the funds </w:t>
      </w:r>
      <w:r w:rsidR="289554B3" w:rsidRPr="2805543E">
        <w:rPr>
          <w:rFonts w:ascii="Times New Roman" w:hAnsi="Times New Roman" w:cs="Times New Roman"/>
          <w:sz w:val="22"/>
          <w:szCs w:val="22"/>
        </w:rPr>
        <w:lastRenderedPageBreak/>
        <w:t xml:space="preserve">are being allocated in an impactful and equitable way. </w:t>
      </w:r>
      <w:r w:rsidR="1F5AF8CF" w:rsidRPr="2805543E">
        <w:rPr>
          <w:rFonts w:ascii="Times New Roman" w:hAnsi="Times New Roman" w:cs="Times New Roman"/>
          <w:sz w:val="22"/>
          <w:szCs w:val="22"/>
        </w:rPr>
        <w:t xml:space="preserve">The Alliance </w:t>
      </w:r>
      <w:r w:rsidR="1620B90D" w:rsidRPr="2805543E">
        <w:rPr>
          <w:rFonts w:ascii="Times New Roman" w:hAnsi="Times New Roman" w:cs="Times New Roman"/>
          <w:sz w:val="22"/>
          <w:szCs w:val="22"/>
        </w:rPr>
        <w:t xml:space="preserve">has submitted the report to Commissioner </w:t>
      </w:r>
      <w:r w:rsidR="1AFD28A5" w:rsidRPr="2805543E">
        <w:rPr>
          <w:rFonts w:ascii="Times New Roman" w:hAnsi="Times New Roman" w:cs="Times New Roman"/>
          <w:sz w:val="22"/>
          <w:szCs w:val="22"/>
        </w:rPr>
        <w:t xml:space="preserve">Penny </w:t>
      </w:r>
      <w:r w:rsidR="1620B90D" w:rsidRPr="2805543E">
        <w:rPr>
          <w:rFonts w:ascii="Times New Roman" w:hAnsi="Times New Roman" w:cs="Times New Roman"/>
          <w:sz w:val="22"/>
          <w:szCs w:val="22"/>
        </w:rPr>
        <w:t>Schwinn</w:t>
      </w:r>
      <w:r w:rsidR="1AFD28A5" w:rsidRPr="2805543E">
        <w:rPr>
          <w:rFonts w:ascii="Times New Roman" w:hAnsi="Times New Roman" w:cs="Times New Roman"/>
          <w:sz w:val="22"/>
          <w:szCs w:val="22"/>
        </w:rPr>
        <w:t xml:space="preserve">, the </w:t>
      </w:r>
      <w:r w:rsidR="63BB1230" w:rsidRPr="2805543E">
        <w:rPr>
          <w:rFonts w:ascii="Times New Roman" w:hAnsi="Times New Roman" w:cs="Times New Roman"/>
          <w:sz w:val="22"/>
          <w:szCs w:val="22"/>
        </w:rPr>
        <w:t>g</w:t>
      </w:r>
      <w:r w:rsidR="1AFD28A5" w:rsidRPr="2805543E">
        <w:rPr>
          <w:rFonts w:ascii="Times New Roman" w:hAnsi="Times New Roman" w:cs="Times New Roman"/>
          <w:sz w:val="22"/>
          <w:szCs w:val="22"/>
        </w:rPr>
        <w:t>overnor’s office, and the rest of the Tennessee legislature</w:t>
      </w:r>
      <w:r w:rsidR="3B46BACD" w:rsidRPr="2805543E">
        <w:rPr>
          <w:rFonts w:ascii="Times New Roman" w:hAnsi="Times New Roman" w:cs="Times New Roman"/>
          <w:sz w:val="22"/>
          <w:szCs w:val="22"/>
        </w:rPr>
        <w:t>.</w:t>
      </w:r>
    </w:p>
    <w:p w14:paraId="53C99CCB" w14:textId="5F70DDCE" w:rsidR="009539DC" w:rsidRDefault="3B46BACD" w:rsidP="00EA474E">
      <w:pPr>
        <w:spacing w:after="240"/>
        <w:rPr>
          <w:rFonts w:ascii="Times New Roman" w:hAnsi="Times New Roman" w:cs="Times New Roman"/>
          <w:sz w:val="22"/>
          <w:szCs w:val="22"/>
        </w:rPr>
      </w:pPr>
      <w:r w:rsidRPr="2805543E">
        <w:rPr>
          <w:rFonts w:ascii="Times New Roman" w:hAnsi="Times New Roman" w:cs="Times New Roman"/>
          <w:sz w:val="22"/>
          <w:szCs w:val="22"/>
        </w:rPr>
        <w:t>“Our hope is</w:t>
      </w:r>
      <w:r w:rsidR="43FEAB50" w:rsidRPr="2805543E">
        <w:rPr>
          <w:rFonts w:ascii="Times New Roman" w:hAnsi="Times New Roman" w:cs="Times New Roman"/>
          <w:sz w:val="22"/>
          <w:szCs w:val="22"/>
        </w:rPr>
        <w:t xml:space="preserve">, with the release of the TN25 Report, </w:t>
      </w:r>
      <w:r w:rsidR="4BDE34F4" w:rsidRPr="2805543E">
        <w:rPr>
          <w:rFonts w:ascii="Times New Roman" w:hAnsi="Times New Roman" w:cs="Times New Roman"/>
          <w:sz w:val="22"/>
          <w:szCs w:val="22"/>
        </w:rPr>
        <w:t xml:space="preserve">our legislature grasps not only the import of this </w:t>
      </w:r>
      <w:r w:rsidR="77C14E90" w:rsidRPr="2805543E">
        <w:rPr>
          <w:rFonts w:ascii="Times New Roman" w:hAnsi="Times New Roman" w:cs="Times New Roman"/>
          <w:sz w:val="22"/>
          <w:szCs w:val="22"/>
        </w:rPr>
        <w:t>generational amount of</w:t>
      </w:r>
      <w:r w:rsidR="6E969D4D" w:rsidRPr="2805543E">
        <w:rPr>
          <w:rFonts w:ascii="Times New Roman" w:hAnsi="Times New Roman" w:cs="Times New Roman"/>
          <w:sz w:val="22"/>
          <w:szCs w:val="22"/>
        </w:rPr>
        <w:t xml:space="preserve"> expiring</w:t>
      </w:r>
      <w:r w:rsidR="77C14E90" w:rsidRPr="2805543E">
        <w:rPr>
          <w:rFonts w:ascii="Times New Roman" w:hAnsi="Times New Roman" w:cs="Times New Roman"/>
          <w:sz w:val="22"/>
          <w:szCs w:val="22"/>
        </w:rPr>
        <w:t xml:space="preserve"> funding, but also the terrific good</w:t>
      </w:r>
      <w:r w:rsidR="665C9316" w:rsidRPr="2805543E">
        <w:rPr>
          <w:rFonts w:ascii="Times New Roman" w:hAnsi="Times New Roman" w:cs="Times New Roman"/>
          <w:sz w:val="22"/>
          <w:szCs w:val="22"/>
        </w:rPr>
        <w:t xml:space="preserve"> this level of commitment can accomplish,” Pupo-Walker said. “</w:t>
      </w:r>
      <w:r w:rsidR="4ADFFE75" w:rsidRPr="2805543E">
        <w:rPr>
          <w:rFonts w:ascii="Times New Roman" w:hAnsi="Times New Roman" w:cs="Times New Roman"/>
          <w:sz w:val="22"/>
          <w:szCs w:val="22"/>
        </w:rPr>
        <w:t xml:space="preserve">We believe the </w:t>
      </w:r>
      <w:r w:rsidR="4F7F6DF2" w:rsidRPr="2805543E">
        <w:rPr>
          <w:rFonts w:ascii="Times New Roman" w:hAnsi="Times New Roman" w:cs="Times New Roman"/>
          <w:sz w:val="22"/>
          <w:szCs w:val="22"/>
        </w:rPr>
        <w:t>common</w:t>
      </w:r>
      <w:r w:rsidR="6BA24A21" w:rsidRPr="2805543E">
        <w:rPr>
          <w:rFonts w:ascii="Times New Roman" w:hAnsi="Times New Roman" w:cs="Times New Roman"/>
          <w:sz w:val="22"/>
          <w:szCs w:val="22"/>
        </w:rPr>
        <w:t>-</w:t>
      </w:r>
      <w:r w:rsidR="4F7F6DF2" w:rsidRPr="2805543E">
        <w:rPr>
          <w:rFonts w:ascii="Times New Roman" w:hAnsi="Times New Roman" w:cs="Times New Roman"/>
          <w:sz w:val="22"/>
          <w:szCs w:val="22"/>
        </w:rPr>
        <w:t>sense</w:t>
      </w:r>
      <w:r w:rsidR="4ADFFE75" w:rsidRPr="2805543E">
        <w:rPr>
          <w:rFonts w:ascii="Times New Roman" w:hAnsi="Times New Roman" w:cs="Times New Roman"/>
          <w:sz w:val="22"/>
          <w:szCs w:val="22"/>
        </w:rPr>
        <w:t xml:space="preserve"> proposals outlined in the report are achievable, </w:t>
      </w:r>
      <w:r w:rsidR="209BDC43" w:rsidRPr="2805543E">
        <w:rPr>
          <w:rFonts w:ascii="Times New Roman" w:hAnsi="Times New Roman" w:cs="Times New Roman"/>
          <w:sz w:val="22"/>
          <w:szCs w:val="22"/>
        </w:rPr>
        <w:t xml:space="preserve">are </w:t>
      </w:r>
      <w:r w:rsidR="4ADFFE75" w:rsidRPr="2805543E">
        <w:rPr>
          <w:rFonts w:ascii="Times New Roman" w:hAnsi="Times New Roman" w:cs="Times New Roman"/>
          <w:sz w:val="22"/>
          <w:szCs w:val="22"/>
        </w:rPr>
        <w:t>equitable</w:t>
      </w:r>
      <w:r w:rsidR="0008A78E" w:rsidRPr="2805543E">
        <w:rPr>
          <w:rFonts w:ascii="Times New Roman" w:hAnsi="Times New Roman" w:cs="Times New Roman"/>
          <w:sz w:val="22"/>
          <w:szCs w:val="22"/>
        </w:rPr>
        <w:t>,</w:t>
      </w:r>
      <w:r w:rsidR="4ADFFE75" w:rsidRPr="2805543E">
        <w:rPr>
          <w:rFonts w:ascii="Times New Roman" w:hAnsi="Times New Roman" w:cs="Times New Roman"/>
          <w:sz w:val="22"/>
          <w:szCs w:val="22"/>
        </w:rPr>
        <w:t xml:space="preserve"> and </w:t>
      </w:r>
      <w:r w:rsidR="4F7F6DF2" w:rsidRPr="2805543E">
        <w:rPr>
          <w:rFonts w:ascii="Times New Roman" w:hAnsi="Times New Roman" w:cs="Times New Roman"/>
          <w:sz w:val="22"/>
          <w:szCs w:val="22"/>
        </w:rPr>
        <w:t>can map a greater future for our state.”</w:t>
      </w:r>
    </w:p>
    <w:p w14:paraId="32B88B7C" w14:textId="7F71D9AF" w:rsidR="00A52C12" w:rsidRPr="007D06F5" w:rsidRDefault="00E5306C" w:rsidP="00EA474E">
      <w:pPr>
        <w:spacing w:after="2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Full access to the report can be found here. </w:t>
      </w:r>
    </w:p>
    <w:p w14:paraId="6D232464" w14:textId="240A1AF2" w:rsidR="00EA474E" w:rsidRPr="00DF70F3" w:rsidRDefault="00EA474E" w:rsidP="00EA474E">
      <w:pPr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 w:rsidRPr="00DF70F3">
        <w:rPr>
          <w:rFonts w:ascii="Times New Roman" w:hAnsi="Times New Roman" w:cs="Times New Roman"/>
          <w:b/>
          <w:bCs/>
          <w:sz w:val="22"/>
          <w:szCs w:val="22"/>
        </w:rPr>
        <w:t>About the Tennessee Alliance for Equity in Education</w:t>
      </w:r>
    </w:p>
    <w:p w14:paraId="49190299" w14:textId="38DFFF19" w:rsidR="00CC6336" w:rsidRDefault="00EA474E" w:rsidP="00EC4829">
      <w:pPr>
        <w:pStyle w:val="NormalWeb"/>
        <w:shd w:val="clear" w:color="auto" w:fill="FFFFFF"/>
        <w:spacing w:before="0" w:beforeAutospacing="0" w:after="240" w:afterAutospacing="0"/>
        <w:rPr>
          <w:color w:val="000000"/>
          <w:sz w:val="22"/>
          <w:szCs w:val="22"/>
          <w:bdr w:val="none" w:sz="0" w:space="0" w:color="auto" w:frame="1"/>
        </w:rPr>
      </w:pPr>
      <w:r w:rsidRPr="00DF70F3">
        <w:rPr>
          <w:rFonts w:eastAsia="Arial"/>
          <w:sz w:val="22"/>
          <w:szCs w:val="22"/>
          <w:lang w:val="en"/>
        </w:rPr>
        <w:t xml:space="preserve">The Tennessee Alliance for Equity in Education is a </w:t>
      </w:r>
      <w:r w:rsidRPr="00DF70F3">
        <w:rPr>
          <w:color w:val="000000"/>
          <w:sz w:val="22"/>
          <w:szCs w:val="22"/>
          <w:bdr w:val="none" w:sz="0" w:space="0" w:color="auto" w:frame="1"/>
        </w:rPr>
        <w:t>network of allies across Tennessee who share a unifying belief that there is more to be achieved for students across the state. Powered by The Education Trust in Tennessee, the Alliance is a collaboration between students, families, educators</w:t>
      </w:r>
      <w:r>
        <w:rPr>
          <w:color w:val="000000"/>
          <w:sz w:val="22"/>
          <w:szCs w:val="22"/>
          <w:bdr w:val="none" w:sz="0" w:space="0" w:color="auto" w:frame="1"/>
        </w:rPr>
        <w:t>,</w:t>
      </w:r>
      <w:r w:rsidRPr="00DF70F3">
        <w:rPr>
          <w:color w:val="000000"/>
          <w:sz w:val="22"/>
          <w:szCs w:val="22"/>
          <w:bdr w:val="none" w:sz="0" w:space="0" w:color="auto" w:frame="1"/>
        </w:rPr>
        <w:t xml:space="preserve"> and communities – especially those whose needs and potential have been overlooked for too long. More information is available at </w:t>
      </w:r>
      <w:hyperlink r:id="rId11" w:history="1">
        <w:r w:rsidRPr="00DF70F3">
          <w:rPr>
            <w:rStyle w:val="Hyperlink"/>
            <w:sz w:val="22"/>
            <w:szCs w:val="22"/>
            <w:bdr w:val="none" w:sz="0" w:space="0" w:color="auto" w:frame="1"/>
          </w:rPr>
          <w:t>TheAllianceTN.org</w:t>
        </w:r>
      </w:hyperlink>
      <w:r w:rsidRPr="00DF70F3">
        <w:rPr>
          <w:color w:val="000000"/>
          <w:sz w:val="22"/>
          <w:szCs w:val="22"/>
          <w:bdr w:val="none" w:sz="0" w:space="0" w:color="auto" w:frame="1"/>
        </w:rPr>
        <w:t xml:space="preserve">. </w:t>
      </w:r>
    </w:p>
    <w:p w14:paraId="2BEA20F0" w14:textId="77777777" w:rsidR="00EC4829" w:rsidRPr="00DF70F3" w:rsidRDefault="00EC4829" w:rsidP="00EC4829">
      <w:pPr>
        <w:spacing w:after="240"/>
        <w:rPr>
          <w:rFonts w:ascii="Times New Roman" w:hAnsi="Times New Roman" w:cs="Times New Roman"/>
          <w:b/>
          <w:bCs/>
          <w:sz w:val="22"/>
          <w:szCs w:val="22"/>
        </w:rPr>
      </w:pPr>
      <w:r w:rsidRPr="00DF70F3">
        <w:rPr>
          <w:rFonts w:ascii="Times New Roman" w:hAnsi="Times New Roman" w:cs="Times New Roman"/>
          <w:b/>
          <w:bCs/>
          <w:sz w:val="22"/>
          <w:szCs w:val="22"/>
        </w:rPr>
        <w:t xml:space="preserve">Contact: </w:t>
      </w:r>
    </w:p>
    <w:p w14:paraId="4FFE645D" w14:textId="77777777" w:rsidR="00EC4829" w:rsidRPr="00EC4829" w:rsidRDefault="00EC4829" w:rsidP="00EC482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EC4829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Alexza Barajas Clark, Ph.D. </w:t>
      </w:r>
    </w:p>
    <w:p w14:paraId="6D5D2112" w14:textId="77777777" w:rsidR="00EC4829" w:rsidRPr="00DF70F3" w:rsidRDefault="00EC4829" w:rsidP="00EC482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DF70F3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The Education Trust </w:t>
      </w:r>
    </w:p>
    <w:p w14:paraId="28CA8ED9" w14:textId="77777777" w:rsidR="00EC4829" w:rsidRPr="00DF70F3" w:rsidRDefault="00EC4829" w:rsidP="00EC482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</w:pPr>
      <w:r w:rsidRPr="00DF70F3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Assistant Director for Tennessee</w:t>
      </w:r>
    </w:p>
    <w:p w14:paraId="7DD6F677" w14:textId="77777777" w:rsidR="00EC4829" w:rsidRPr="00DF70F3" w:rsidRDefault="00EC4829" w:rsidP="00EC4829">
      <w:pPr>
        <w:rPr>
          <w:rFonts w:ascii="Times New Roman" w:eastAsia="Times New Roman" w:hAnsi="Times New Roman" w:cs="Times New Roman"/>
          <w:sz w:val="22"/>
          <w:szCs w:val="22"/>
        </w:rPr>
      </w:pPr>
      <w:r w:rsidRPr="00DF70F3">
        <w:rPr>
          <w:rFonts w:ascii="Times New Roman" w:eastAsia="Times New Roman" w:hAnsi="Times New Roman" w:cs="Times New Roman"/>
          <w:color w:val="201F1E"/>
          <w:sz w:val="22"/>
          <w:szCs w:val="22"/>
          <w:shd w:val="clear" w:color="auto" w:fill="FFFFFF"/>
        </w:rPr>
        <w:t>(615) 290-3106</w:t>
      </w:r>
    </w:p>
    <w:p w14:paraId="3ABA390E" w14:textId="77777777" w:rsidR="00EC4829" w:rsidRPr="00DF70F3" w:rsidRDefault="009D6263" w:rsidP="00EC482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hyperlink r:id="rId12" w:history="1">
        <w:r w:rsidR="00EC4829" w:rsidRPr="00DF70F3">
          <w:rPr>
            <w:rStyle w:val="Hyperlink"/>
            <w:rFonts w:ascii="Times New Roman" w:eastAsia="Times New Roman" w:hAnsi="Times New Roman" w:cs="Times New Roman"/>
            <w:sz w:val="22"/>
            <w:szCs w:val="22"/>
          </w:rPr>
          <w:t>abarajasclark@edtrust.org</w:t>
        </w:r>
      </w:hyperlink>
    </w:p>
    <w:p w14:paraId="152B9173" w14:textId="77777777" w:rsidR="00EC4829" w:rsidRPr="00EC4829" w:rsidRDefault="00EC4829" w:rsidP="00EC482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4377A791" w14:textId="77777777" w:rsidR="00EC4829" w:rsidRPr="00DF70F3" w:rsidRDefault="00EC4829" w:rsidP="00EC482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FR"/>
        </w:rPr>
      </w:pPr>
      <w:r w:rsidRPr="00DF70F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FR"/>
        </w:rPr>
        <w:t xml:space="preserve">Javier Solano </w:t>
      </w:r>
    </w:p>
    <w:p w14:paraId="606447C1" w14:textId="77777777" w:rsidR="00EC4829" w:rsidRPr="00DF70F3" w:rsidRDefault="00EC4829" w:rsidP="00EC4829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FR"/>
        </w:rPr>
      </w:pPr>
      <w:r w:rsidRPr="00DF70F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fr-FR"/>
        </w:rPr>
        <w:t xml:space="preserve">MP&amp;F Strategic Communications </w:t>
      </w:r>
    </w:p>
    <w:p w14:paraId="0221AE67" w14:textId="77777777" w:rsidR="00EC4829" w:rsidRDefault="00EC4829" w:rsidP="00EC4829">
      <w:r w:rsidRPr="00DF70F3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(615) 330-28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17</w:t>
      </w:r>
    </w:p>
    <w:p w14:paraId="044A27EB" w14:textId="77777777" w:rsidR="00EC4829" w:rsidRDefault="00EC4829" w:rsidP="00EC4829">
      <w:pPr>
        <w:pStyle w:val="NormalWeb"/>
        <w:shd w:val="clear" w:color="auto" w:fill="FFFFFF"/>
        <w:spacing w:before="0" w:beforeAutospacing="0" w:after="240" w:afterAutospacing="0"/>
      </w:pPr>
    </w:p>
    <w:sectPr w:rsidR="00EC4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319981683" textId="542977096" start="183" length="10" invalidationStart="183" invalidationLength="10" id="Jh4zW6OC"/>
  </int:Manifest>
  <int:Observations>
    <int:Content id="Jh4zW6OC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14AC9"/>
    <w:multiLevelType w:val="multilevel"/>
    <w:tmpl w:val="8C40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E16793"/>
    <w:multiLevelType w:val="hybridMultilevel"/>
    <w:tmpl w:val="75BA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41A7"/>
    <w:multiLevelType w:val="hybridMultilevel"/>
    <w:tmpl w:val="E6645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0576F"/>
    <w:multiLevelType w:val="hybridMultilevel"/>
    <w:tmpl w:val="153E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8420E"/>
    <w:multiLevelType w:val="hybridMultilevel"/>
    <w:tmpl w:val="A9E8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4E"/>
    <w:rsid w:val="000111C8"/>
    <w:rsid w:val="0008A78E"/>
    <w:rsid w:val="00091167"/>
    <w:rsid w:val="000A13D3"/>
    <w:rsid w:val="00100D39"/>
    <w:rsid w:val="001263EB"/>
    <w:rsid w:val="00126818"/>
    <w:rsid w:val="00141402"/>
    <w:rsid w:val="00204D96"/>
    <w:rsid w:val="002542E4"/>
    <w:rsid w:val="002B4B37"/>
    <w:rsid w:val="002C4D1E"/>
    <w:rsid w:val="003025FD"/>
    <w:rsid w:val="00306F41"/>
    <w:rsid w:val="0034313D"/>
    <w:rsid w:val="003A5679"/>
    <w:rsid w:val="003B6191"/>
    <w:rsid w:val="0049314F"/>
    <w:rsid w:val="004976A0"/>
    <w:rsid w:val="004A7CD4"/>
    <w:rsid w:val="004D2CE9"/>
    <w:rsid w:val="00503E46"/>
    <w:rsid w:val="00504639"/>
    <w:rsid w:val="00535310"/>
    <w:rsid w:val="005B77A4"/>
    <w:rsid w:val="00645CAB"/>
    <w:rsid w:val="0068012E"/>
    <w:rsid w:val="00694882"/>
    <w:rsid w:val="006F3872"/>
    <w:rsid w:val="007161AC"/>
    <w:rsid w:val="00717326"/>
    <w:rsid w:val="007213E0"/>
    <w:rsid w:val="007C2692"/>
    <w:rsid w:val="007D06F5"/>
    <w:rsid w:val="007F6AA9"/>
    <w:rsid w:val="00823B3C"/>
    <w:rsid w:val="00845F4B"/>
    <w:rsid w:val="008E15BE"/>
    <w:rsid w:val="00912803"/>
    <w:rsid w:val="00950AE5"/>
    <w:rsid w:val="009539DC"/>
    <w:rsid w:val="00991230"/>
    <w:rsid w:val="009B25AA"/>
    <w:rsid w:val="009C28F8"/>
    <w:rsid w:val="009D6263"/>
    <w:rsid w:val="009F371D"/>
    <w:rsid w:val="00A13746"/>
    <w:rsid w:val="00A32DA5"/>
    <w:rsid w:val="00A52C12"/>
    <w:rsid w:val="00A932D2"/>
    <w:rsid w:val="00AB6305"/>
    <w:rsid w:val="00AE00E6"/>
    <w:rsid w:val="00B47FFB"/>
    <w:rsid w:val="00BB5E51"/>
    <w:rsid w:val="00C019A7"/>
    <w:rsid w:val="00C0521B"/>
    <w:rsid w:val="00C077B3"/>
    <w:rsid w:val="00C94B38"/>
    <w:rsid w:val="00CB0695"/>
    <w:rsid w:val="00CC6336"/>
    <w:rsid w:val="00CD2148"/>
    <w:rsid w:val="00D01230"/>
    <w:rsid w:val="00D4002F"/>
    <w:rsid w:val="00D5322A"/>
    <w:rsid w:val="00D54009"/>
    <w:rsid w:val="00D8419E"/>
    <w:rsid w:val="00DD33CA"/>
    <w:rsid w:val="00E0026F"/>
    <w:rsid w:val="00E5306C"/>
    <w:rsid w:val="00E56B02"/>
    <w:rsid w:val="00EA474E"/>
    <w:rsid w:val="00EC4829"/>
    <w:rsid w:val="00EE0B6F"/>
    <w:rsid w:val="00F91989"/>
    <w:rsid w:val="00F96E24"/>
    <w:rsid w:val="00FE2FAD"/>
    <w:rsid w:val="095B53FD"/>
    <w:rsid w:val="0C65FEC1"/>
    <w:rsid w:val="0DF798E8"/>
    <w:rsid w:val="12BAF8C1"/>
    <w:rsid w:val="1620B90D"/>
    <w:rsid w:val="1769FFCA"/>
    <w:rsid w:val="1AFD28A5"/>
    <w:rsid w:val="1BF35477"/>
    <w:rsid w:val="1E005F21"/>
    <w:rsid w:val="1F5AF8CF"/>
    <w:rsid w:val="1F5DA150"/>
    <w:rsid w:val="209BDC43"/>
    <w:rsid w:val="21F050AB"/>
    <w:rsid w:val="24CCFB2A"/>
    <w:rsid w:val="261C26AB"/>
    <w:rsid w:val="27399026"/>
    <w:rsid w:val="27EB0966"/>
    <w:rsid w:val="2805543E"/>
    <w:rsid w:val="286E0B98"/>
    <w:rsid w:val="289554B3"/>
    <w:rsid w:val="293815F6"/>
    <w:rsid w:val="2D4B7B9F"/>
    <w:rsid w:val="2D6E757D"/>
    <w:rsid w:val="2DD1CC3A"/>
    <w:rsid w:val="300D7504"/>
    <w:rsid w:val="3048320E"/>
    <w:rsid w:val="30F0B5E7"/>
    <w:rsid w:val="32B6C132"/>
    <w:rsid w:val="3410FC58"/>
    <w:rsid w:val="3799CA02"/>
    <w:rsid w:val="39A0E6CA"/>
    <w:rsid w:val="3AA61C38"/>
    <w:rsid w:val="3B46BACD"/>
    <w:rsid w:val="43FEAB50"/>
    <w:rsid w:val="499B8D90"/>
    <w:rsid w:val="4ADFFE75"/>
    <w:rsid w:val="4B375DF1"/>
    <w:rsid w:val="4BDE34F4"/>
    <w:rsid w:val="4DB5BE16"/>
    <w:rsid w:val="4F7F6DF2"/>
    <w:rsid w:val="500239EB"/>
    <w:rsid w:val="505D50B9"/>
    <w:rsid w:val="51A1D17E"/>
    <w:rsid w:val="52F43644"/>
    <w:rsid w:val="59F97211"/>
    <w:rsid w:val="5B8A76D2"/>
    <w:rsid w:val="5D5801F6"/>
    <w:rsid w:val="5E8CA360"/>
    <w:rsid w:val="61480062"/>
    <w:rsid w:val="61D8F18B"/>
    <w:rsid w:val="63BB1230"/>
    <w:rsid w:val="6432C193"/>
    <w:rsid w:val="64AC38B7"/>
    <w:rsid w:val="6571954C"/>
    <w:rsid w:val="665C9316"/>
    <w:rsid w:val="66B83F6F"/>
    <w:rsid w:val="6AB8D590"/>
    <w:rsid w:val="6B010EE7"/>
    <w:rsid w:val="6BA24A21"/>
    <w:rsid w:val="6E969D4D"/>
    <w:rsid w:val="7197664A"/>
    <w:rsid w:val="75E86659"/>
    <w:rsid w:val="77B6B0AF"/>
    <w:rsid w:val="77C14E90"/>
    <w:rsid w:val="77CE020C"/>
    <w:rsid w:val="78BDBC3A"/>
    <w:rsid w:val="797BA88C"/>
    <w:rsid w:val="7A5582DB"/>
    <w:rsid w:val="7AA96477"/>
    <w:rsid w:val="7DD01C7E"/>
    <w:rsid w:val="7F19672A"/>
    <w:rsid w:val="7F97A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1BAE"/>
  <w15:chartTrackingRefBased/>
  <w15:docId w15:val="{7D1DF5E8-3B86-48B8-987B-20944AE39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474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74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A474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A47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841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1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1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1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19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52C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00D39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e0f1f2122c424c9a" Type="http://schemas.microsoft.com/office/2019/09/relationships/intelligence" Target="intelligence.xml"/><Relationship Id="rId7" Type="http://schemas.openxmlformats.org/officeDocument/2006/relationships/webSettings" Target="webSettings.xml"/><Relationship Id="rId12" Type="http://schemas.openxmlformats.org/officeDocument/2006/relationships/hyperlink" Target="mailto:abarajasclark@edtrust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alliancetn.org/" TargetMode="External"/><Relationship Id="rId5" Type="http://schemas.openxmlformats.org/officeDocument/2006/relationships/styles" Target="styles.xml"/><Relationship Id="rId10" Type="http://schemas.openxmlformats.org/officeDocument/2006/relationships/hyperlink" Target="https://edtrust.org/tennesse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thealliancetn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EF970EBD91D847A58EA8270491179A" ma:contentTypeVersion="14" ma:contentTypeDescription="Create a new document." ma:contentTypeScope="" ma:versionID="4d9455fcf9bda42afefc8e3228810f3b">
  <xsd:schema xmlns:xsd="http://www.w3.org/2001/XMLSchema" xmlns:xs="http://www.w3.org/2001/XMLSchema" xmlns:p="http://schemas.microsoft.com/office/2006/metadata/properties" xmlns:ns3="bdf097f8-22f5-4970-91c6-8e9f69c55eb9" xmlns:ns4="d9063cef-fcc5-4768-acd4-23dfe23cb496" targetNamespace="http://schemas.microsoft.com/office/2006/metadata/properties" ma:root="true" ma:fieldsID="5505f2f01c45f09ffc824e0c02fa6020" ns3:_="" ns4:_="">
    <xsd:import namespace="bdf097f8-22f5-4970-91c6-8e9f69c55eb9"/>
    <xsd:import namespace="d9063cef-fcc5-4768-acd4-23dfe23cb4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097f8-22f5-4970-91c6-8e9f69c55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063cef-fcc5-4768-acd4-23dfe23cb4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A3B357-3712-4221-BCF1-E8C7FEDAC7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0EDA9D-22A2-4A64-9C28-A02F9DE74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5F4A4-0785-49EB-8B5D-1B68D7EB0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f097f8-22f5-4970-91c6-8e9f69c55eb9"/>
    <ds:schemaRef ds:uri="d9063cef-fcc5-4768-acd4-23dfe23cb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Perez</dc:creator>
  <cp:keywords/>
  <dc:description/>
  <cp:lastModifiedBy>Alexza Barajas Clark</cp:lastModifiedBy>
  <cp:revision>2</cp:revision>
  <dcterms:created xsi:type="dcterms:W3CDTF">2022-01-18T21:12:00Z</dcterms:created>
  <dcterms:modified xsi:type="dcterms:W3CDTF">2022-01-18T21:12:00Z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0x010100AFEF970EBD91D847A58EA8270491179A</vt:lpwstr>
  </property>
</Properties>
</file>